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Сущенко Дарина Василівна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3622408082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.Героїв Полку Азов, 12</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10 500,00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21 000,00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42 000,00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12 місяців)</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84 000,00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10 000,00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3 місяці</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30 000,00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6 місяців</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60 000,00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120 000,00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4 100,00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7 800,00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10 800,00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14 000,00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20 400,00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29 700,00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38 400,00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1 600,00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25 600,00</w:t>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7">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9">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A">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GheyRyMjkmoNGEMVGxjo0e/Rag==">CgMxLjA4AHIhMWZFQ19xeWJCdUpMWElINFlldVFxMXN3eGw1REV3ZDV3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